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1D" w:rsidRDefault="0061221D" w:rsidP="0061221D">
      <w:pPr>
        <w:shd w:val="clear" w:color="auto" w:fill="FFFFFF"/>
        <w:spacing w:line="580" w:lineRule="exact"/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</w:rPr>
        <w:t>附件</w:t>
      </w:r>
      <w:r w:rsidR="005C5AD4"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</w:rPr>
        <w:t>4</w:t>
      </w:r>
      <w:r>
        <w:rPr>
          <w:rFonts w:asciiTheme="majorEastAsia" w:eastAsiaTheme="majorEastAsia" w:hAnsiTheme="majorEastAsia" w:cs="Arial" w:hint="eastAsia"/>
          <w:b/>
          <w:color w:val="000000"/>
          <w:kern w:val="0"/>
          <w:sz w:val="32"/>
          <w:szCs w:val="32"/>
        </w:rPr>
        <w:t>：</w:t>
      </w:r>
    </w:p>
    <w:p w:rsidR="0061221D" w:rsidRDefault="0061221D" w:rsidP="0061221D">
      <w:pPr>
        <w:shd w:val="clear" w:color="auto" w:fill="FFFFFF"/>
        <w:spacing w:line="58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</w:p>
    <w:p w:rsidR="0061221D" w:rsidRPr="00775C47" w:rsidRDefault="0061221D" w:rsidP="0061221D">
      <w:pPr>
        <w:shd w:val="clear" w:color="auto" w:fill="FFFFFF"/>
        <w:spacing w:line="58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  <w:r w:rsidRPr="00775C47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“创青春”</w:t>
      </w:r>
      <w:r w:rsidRPr="00775C47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44"/>
          <w:szCs w:val="44"/>
        </w:rPr>
        <w:t>大学生创业大赛</w:t>
      </w:r>
      <w:r w:rsidRPr="00775C47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参赛准备工作建议</w:t>
      </w:r>
    </w:p>
    <w:p w:rsidR="0061221D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bookmarkStart w:id="0" w:name="_GoBack"/>
      <w:bookmarkEnd w:id="0"/>
    </w:p>
    <w:p w:rsidR="0061221D" w:rsidRPr="009F26DF" w:rsidRDefault="0061221D" w:rsidP="0061221D">
      <w:pPr>
        <w:pStyle w:val="a7"/>
        <w:spacing w:line="560" w:lineRule="exac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针对</w:t>
      </w:r>
      <w:r w:rsidRPr="005D2B2A">
        <w:rPr>
          <w:rFonts w:ascii="仿宋" w:eastAsia="仿宋" w:hAnsi="仿宋" w:cs="Arial"/>
          <w:color w:val="000000"/>
          <w:kern w:val="0"/>
          <w:sz w:val="32"/>
          <w:szCs w:val="32"/>
        </w:rPr>
        <w:t>参赛项目如何顺利参赛、如何取得更好的比赛成绩等方面</w:t>
      </w: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给出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一些</w:t>
      </w: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建议</w:t>
      </w:r>
      <w:r w:rsidR="00805A8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如下：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1．将来如何盈利、如何可持续发展比项目目前如何更重要，最好是有些市场容量、市场盈利情况的分析，再加上商业模式创新方面的内容。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2．文化创意和服务咨询类项目关键在创意，技术是优势切入点。是否有“创意”</w:t>
      </w:r>
      <w:r w:rsidR="00D10F86">
        <w:rPr>
          <w:rFonts w:ascii="仿宋" w:eastAsia="仿宋" w:hAnsi="仿宋" w:cs="Arial"/>
          <w:color w:val="000000"/>
          <w:kern w:val="0"/>
          <w:sz w:val="32"/>
          <w:szCs w:val="32"/>
        </w:rPr>
        <w:t>取决于对人性的了解、需求的了解、</w:t>
      </w: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社会问题的了解，认识到了什么地步，创意就会到什么层级，要深入挖掘研究，做正确的事最重要。技术创新、模式创新是实现手段，是竞争优势，参赛项目要找到比较长处、比较优势，尽可能放大。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3．每个项目计划要梳理一下以下要点：一个基本定位（做什么产品、为什么人解决什么问题、创造什么价值、有什么创新）；一个基本的商业模式（可持续的收入怎么来的、有什么创新）；一个基本的财务预测（效益的数据表现、发展规划及前景描述）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4．参赛项目要注意提升项目的层次，通过突出实施改项目的重要使命来提升层次、打动评委，要想清楚做此项目为了完成什么使命、已经有了什么创业成绩、下一步将如何做？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5．项目参赛，一定要紧扣所在比赛类别的评分标准，有分</w:t>
      </w: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lastRenderedPageBreak/>
        <w:t>值分配的评分项，项目计划书和答辩时都要向评委汇报清楚，越是不清楚的地方，评委现场越容易问到。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6．现场问辩环节，评委提问大多以商业模式、财务状况等方面的问题为主；项目技术方面的问题，评委们一般不会问得太深奥；</w:t>
      </w:r>
      <w:r w:rsidRPr="009F26D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创业项目大赛</w:t>
      </w: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，</w:t>
      </w:r>
      <w:r w:rsidRPr="009F26D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切不可对项目的专利技术花费太多时间汇报，专利技术过多也不是好事，要把握好度。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7．关于答辩时的人数，建议不要仅由1个人上台答辩，最好以团队上台答辩；答辩前应做有针对性的演练；答辩时应自然、表达流利、思路清晰，避免模式化、刻板、死记硬背、客套话太多等问题；答辩人应为项目参与人，对项目比较了解，尽量不要安排语言表达能力好、但不是项目参与人上台答辩，以免评委提问时无从回答。</w:t>
      </w:r>
    </w:p>
    <w:p w:rsidR="0061221D" w:rsidRPr="009F26DF" w:rsidRDefault="0061221D" w:rsidP="0061221D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8．答辩时，结合PPT进行有激情、专注、自信的汇报十分重要；答辩汇报中，要突出项目的亮点，亮点要注重放大。</w:t>
      </w:r>
    </w:p>
    <w:p w:rsidR="006E09BA" w:rsidRDefault="0061221D" w:rsidP="006E09BA">
      <w:pPr>
        <w:pStyle w:val="a7"/>
        <w:spacing w:line="560" w:lineRule="exact"/>
        <w:ind w:firstLineChars="250" w:firstLine="80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9．参赛者要通过</w:t>
      </w:r>
      <w:r w:rsidR="00357C4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调查研究、头脑风暴等</w:t>
      </w: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多种途径，努力提升对创业的认识，避免浅薄、浮于表面（评委们都是创业有成的大家）；创业，应突出“发现问题、拿出解决问题的可行方案、创造价值解决现有问题”的重要逻辑。</w:t>
      </w:r>
    </w:p>
    <w:p w:rsidR="00BC17AD" w:rsidRDefault="0061221D" w:rsidP="006E09BA">
      <w:pPr>
        <w:pStyle w:val="a7"/>
        <w:spacing w:line="560" w:lineRule="exact"/>
        <w:ind w:firstLineChars="250" w:firstLine="800"/>
      </w:pPr>
      <w:r w:rsidRPr="009F26DF">
        <w:rPr>
          <w:rFonts w:ascii="仿宋" w:eastAsia="仿宋" w:hAnsi="仿宋" w:cs="Arial"/>
          <w:color w:val="000000"/>
          <w:kern w:val="0"/>
          <w:sz w:val="32"/>
          <w:szCs w:val="32"/>
        </w:rPr>
        <w:t>10．</w:t>
      </w:r>
      <w:r w:rsidR="00D309B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注重文本编排质量和框架逻辑，符合公司运行规律的商业模式、营销模式、盈利模式。</w:t>
      </w:r>
    </w:p>
    <w:sectPr w:rsidR="00BC17AD" w:rsidSect="0061221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D8" w:rsidRDefault="00895AD8" w:rsidP="0061221D">
      <w:r>
        <w:separator/>
      </w:r>
    </w:p>
  </w:endnote>
  <w:endnote w:type="continuationSeparator" w:id="0">
    <w:p w:rsidR="00895AD8" w:rsidRDefault="00895AD8" w:rsidP="0061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D8" w:rsidRDefault="00895AD8" w:rsidP="0061221D">
      <w:r>
        <w:separator/>
      </w:r>
    </w:p>
  </w:footnote>
  <w:footnote w:type="continuationSeparator" w:id="0">
    <w:p w:rsidR="00895AD8" w:rsidRDefault="00895AD8" w:rsidP="0061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4A9"/>
    <w:rsid w:val="001514A9"/>
    <w:rsid w:val="00316AEA"/>
    <w:rsid w:val="00357C46"/>
    <w:rsid w:val="0054229E"/>
    <w:rsid w:val="005C5AD4"/>
    <w:rsid w:val="0061221D"/>
    <w:rsid w:val="006C6EB6"/>
    <w:rsid w:val="006E09BA"/>
    <w:rsid w:val="006F77CC"/>
    <w:rsid w:val="00805A84"/>
    <w:rsid w:val="00895AD8"/>
    <w:rsid w:val="00A04933"/>
    <w:rsid w:val="00D10F86"/>
    <w:rsid w:val="00D309B3"/>
    <w:rsid w:val="00DD00DC"/>
    <w:rsid w:val="00DE78A4"/>
    <w:rsid w:val="00E13A96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3A264"/>
  <w15:docId w15:val="{A67BB264-3DE0-4323-B73F-1C27145B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21D"/>
    <w:rPr>
      <w:sz w:val="18"/>
      <w:szCs w:val="18"/>
    </w:rPr>
  </w:style>
  <w:style w:type="paragraph" w:styleId="a7">
    <w:name w:val="List Paragraph"/>
    <w:basedOn w:val="a"/>
    <w:uiPriority w:val="99"/>
    <w:qFormat/>
    <w:rsid w:val="0061221D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10</cp:revision>
  <dcterms:created xsi:type="dcterms:W3CDTF">2016-01-12T02:50:00Z</dcterms:created>
  <dcterms:modified xsi:type="dcterms:W3CDTF">2019-01-03T07:08:00Z</dcterms:modified>
</cp:coreProperties>
</file>